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suppressAutoHyphens w:val="true"/>
        <w:spacing w:lineRule="auto" w:line="228"/>
        <w:ind w:left="7088" w:hanging="0"/>
        <w:jc w:val="center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Приложение № 5</w:t>
      </w:r>
    </w:p>
    <w:p>
      <w:pPr>
        <w:pStyle w:val="Normal"/>
        <w:keepNext w:val="true"/>
        <w:suppressAutoHyphens w:val="true"/>
        <w:spacing w:lineRule="auto" w:line="228"/>
        <w:ind w:left="7088" w:hanging="0"/>
        <w:jc w:val="center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к Расписанию выезда</w:t>
      </w:r>
    </w:p>
    <w:p>
      <w:pPr>
        <w:pStyle w:val="Normal"/>
        <w:keepNext w:val="true"/>
        <w:suppressAutoHyphens w:val="true"/>
        <w:spacing w:lineRule="auto" w:line="228"/>
        <w:jc w:val="center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Normal"/>
        <w:keepNext w:val="true"/>
        <w:suppressAutoHyphens w:val="true"/>
        <w:spacing w:lineRule="auto" w:line="228"/>
        <w:jc w:val="center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Normal"/>
        <w:widowControl w:val="false"/>
        <w:spacing w:lineRule="auto" w:line="228"/>
        <w:jc w:val="center"/>
        <w:rPr>
          <w:sz w:val="28"/>
          <w:szCs w:val="28"/>
        </w:rPr>
      </w:pPr>
      <w:r>
        <w:rPr>
          <w:sz w:val="28"/>
          <w:szCs w:val="28"/>
        </w:rPr>
        <w:t>Описание территориальных границ районов и подрайонов выезда подразделений, зон ответственности СПСЧ, СПЧ, ОП, пожарных поездов, границ акваторий для пожарных судов, а также условий, при которых они направляются в подрайоны выезда по первому сообщению о пожаре (ЧС)</w:t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spacing w:lineRule="auto" w:line="228"/>
        <w:jc w:val="center"/>
        <w:rPr/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Описание территориальных границ районов и подрайонов выезда подразделений</w:t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spacing w:lineRule="auto" w:line="228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Район выезда 84 ПСЧ (ОП 84 ПСЧ)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spacing w:lineRule="auto" w:line="228"/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/>
      </w:pPr>
      <w:r>
        <w:rPr>
          <w:sz w:val="28"/>
          <w:szCs w:val="28"/>
        </w:rPr>
        <w:t>Район выезда:</w:t>
      </w:r>
      <w:r>
        <w:rPr>
          <w:b w:val="false"/>
          <w:sz w:val="28"/>
          <w:szCs w:val="28"/>
        </w:rPr>
        <w:t xml:space="preserve"> Территория г.Пыть-Ях, исключая районы выезда подразделений частной пожарной охраны: 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- ПЧ-77;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- ПП «ЮБ ГПЗ»;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- ПП «ЮБ ЛПУ».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Район выезда ПЧ-77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sz w:val="28"/>
          <w:szCs w:val="28"/>
        </w:rPr>
        <w:t>Район выезда:</w:t>
      </w:r>
      <w:r>
        <w:rPr>
          <w:b w:val="false"/>
          <w:sz w:val="28"/>
          <w:szCs w:val="28"/>
        </w:rPr>
        <w:t xml:space="preserve"> </w:t>
      </w:r>
      <w:r>
        <w:rPr>
          <w:b w:val="false"/>
          <w:spacing w:val="-2"/>
          <w:sz w:val="28"/>
          <w:szCs w:val="28"/>
        </w:rPr>
        <w:t xml:space="preserve">Территория ППСН-2 (ЦППН-2), пожарного депо ПЧ-77, объектов добычи, подготовки и транспортировки нефти и газа </w:t>
      </w:r>
      <w:r>
        <w:rPr>
          <w:b w:val="false"/>
          <w:spacing w:val="-4"/>
          <w:sz w:val="28"/>
          <w:szCs w:val="28"/>
        </w:rPr>
        <w:t xml:space="preserve">ООО «РН-Юганскнефтегаз», расположенных в черте г.Пыть-Ях, </w:t>
      </w:r>
      <w:r>
        <w:rPr>
          <w:b w:val="false"/>
          <w:spacing w:val="-2"/>
          <w:sz w:val="28"/>
          <w:szCs w:val="28"/>
        </w:rPr>
        <w:t xml:space="preserve">с прилегающей к ним охранной зоной </w:t>
      </w:r>
      <w:r>
        <w:rPr>
          <w:b w:val="false"/>
          <w:spacing w:val="-4"/>
          <w:sz w:val="28"/>
          <w:szCs w:val="28"/>
        </w:rPr>
        <w:t xml:space="preserve">и объектами инфраструктуры, обеспечивающих работу этих объектов. 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Район выезда ПП «ЮБ ГПЗ»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sz w:val="28"/>
          <w:szCs w:val="28"/>
        </w:rPr>
        <w:t>Район выезда:</w:t>
      </w:r>
      <w:r>
        <w:rPr>
          <w:b w:val="false"/>
          <w:sz w:val="28"/>
          <w:szCs w:val="28"/>
        </w:rPr>
        <w:t xml:space="preserve"> </w:t>
      </w:r>
      <w:r>
        <w:rPr>
          <w:b w:val="false"/>
          <w:spacing w:val="-2"/>
          <w:sz w:val="28"/>
          <w:szCs w:val="28"/>
        </w:rPr>
        <w:t xml:space="preserve">Территория производственной площадки «Южно-Балыкского ГПЗ» - филиала АО «СибурТюменьГаз», с прилегающей к объектам «Южно-Балыкского ГПЗ» - филиала АО «СибурТюменьГаз» охранной зоной </w:t>
      </w:r>
      <w:r>
        <w:rPr>
          <w:b w:val="false"/>
          <w:spacing w:val="-4"/>
          <w:sz w:val="28"/>
          <w:szCs w:val="28"/>
        </w:rPr>
        <w:t>и объектами инфраструктуры, обеспечивающих работу этих объектов.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center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Район выезда ПП «ЮБ ЛПУ»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sz w:val="28"/>
          <w:szCs w:val="28"/>
        </w:rPr>
        <w:t>Район выезда:</w:t>
      </w:r>
      <w:r>
        <w:rPr>
          <w:b w:val="false"/>
          <w:sz w:val="28"/>
          <w:szCs w:val="28"/>
        </w:rPr>
        <w:t xml:space="preserve"> </w:t>
      </w:r>
      <w:r>
        <w:rPr>
          <w:b w:val="false"/>
          <w:spacing w:val="-2"/>
          <w:sz w:val="28"/>
          <w:szCs w:val="28"/>
        </w:rPr>
        <w:t xml:space="preserve">Территория производственной площадки «Южно-Балыкского ЛПУ» </w:t>
      </w:r>
      <w:r>
        <w:rPr>
          <w:b w:val="false"/>
          <w:spacing w:val="-12"/>
          <w:sz w:val="28"/>
          <w:szCs w:val="28"/>
        </w:rPr>
        <w:t xml:space="preserve">ООО «Запсибтрансгаз» АО «СибурТюменьГаз», </w:t>
      </w:r>
      <w:r>
        <w:rPr>
          <w:b w:val="false"/>
          <w:spacing w:val="-2"/>
          <w:sz w:val="28"/>
          <w:szCs w:val="28"/>
        </w:rPr>
        <w:t xml:space="preserve">с прилегающей к объектам «Южно-Балыкского ЛПУ» </w:t>
      </w:r>
      <w:r>
        <w:rPr>
          <w:b w:val="false"/>
          <w:spacing w:val="-12"/>
          <w:sz w:val="28"/>
          <w:szCs w:val="28"/>
        </w:rPr>
        <w:t xml:space="preserve">ООО «Запсибтрансгаз» АО «СибурТюменьГаз», </w:t>
      </w:r>
      <w:r>
        <w:rPr>
          <w:b w:val="false"/>
          <w:spacing w:val="-2"/>
          <w:sz w:val="28"/>
          <w:szCs w:val="28"/>
        </w:rPr>
        <w:t xml:space="preserve">охранной зоной </w:t>
      </w:r>
      <w:r>
        <w:rPr>
          <w:b w:val="false"/>
          <w:spacing w:val="-4"/>
          <w:sz w:val="28"/>
          <w:szCs w:val="28"/>
        </w:rPr>
        <w:t>и объектами инфраструктуры, обеспечивающих работу этих объектов.</w:t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20"/>
          <w:tab w:val="left" w:pos="1560" w:leader="none"/>
          <w:tab w:val="left" w:pos="3544" w:leader="none"/>
          <w:tab w:val="left" w:pos="3686" w:leader="none"/>
          <w:tab w:val="left" w:pos="3828" w:leader="none"/>
        </w:tabs>
        <w:jc w:val="both"/>
        <w:rPr>
          <w:b w:val="false"/>
          <w:b w:val="false"/>
          <w:spacing w:val="-4"/>
          <w:sz w:val="28"/>
          <w:szCs w:val="28"/>
          <w:u w:val="single"/>
        </w:rPr>
      </w:pPr>
      <w:r>
        <w:rPr>
          <w:b w:val="false"/>
          <w:spacing w:val="-4"/>
          <w:sz w:val="28"/>
          <w:szCs w:val="28"/>
          <w:u w:val="single"/>
        </w:rPr>
      </w:r>
    </w:p>
    <w:p>
      <w:pPr>
        <w:pStyle w:val="Normal"/>
        <w:widowControl w:val="false"/>
        <w:spacing w:lineRule="auto" w:line="228"/>
        <w:jc w:val="center"/>
        <w:rPr>
          <w:b w:val="false"/>
          <w:b w:val="false"/>
          <w:spacing w:val="-4"/>
          <w:sz w:val="16"/>
          <w:szCs w:val="16"/>
          <w:u w:val="single"/>
        </w:rPr>
      </w:pPr>
      <w:r>
        <w:rPr>
          <w:b w:val="false"/>
          <w:spacing w:val="-4"/>
          <w:sz w:val="16"/>
          <w:szCs w:val="16"/>
          <w:u w:val="single"/>
        </w:rPr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spacing w:lineRule="auto" w:line="22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Описание условий, при которых подразделения направляются </w:t>
      </w:r>
    </w:p>
    <w:p>
      <w:pPr>
        <w:pStyle w:val="Normal"/>
        <w:widowControl w:val="false"/>
        <w:spacing w:lineRule="auto" w:line="228"/>
        <w:jc w:val="center"/>
        <w:rPr>
          <w:sz w:val="28"/>
          <w:szCs w:val="28"/>
        </w:rPr>
      </w:pPr>
      <w:r>
        <w:rPr>
          <w:sz w:val="28"/>
          <w:szCs w:val="28"/>
        </w:rPr>
        <w:t>в подрайоны выезда по первому сообщению о пожаре (ЧС)</w:t>
      </w:r>
    </w:p>
    <w:p>
      <w:pPr>
        <w:pStyle w:val="Normal"/>
        <w:widowControl w:val="false"/>
        <w:spacing w:lineRule="auto" w:line="2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spacing w:lineRule="auto" w:line="228"/>
        <w:jc w:val="center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10461" w:type="dxa"/>
        <w:jc w:val="left"/>
        <w:tblInd w:w="-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491"/>
        <w:gridCol w:w="1492"/>
        <w:gridCol w:w="1125"/>
        <w:gridCol w:w="1125"/>
        <w:gridCol w:w="1125"/>
        <w:gridCol w:w="1125"/>
        <w:gridCol w:w="2558"/>
      </w:tblGrid>
      <w:tr>
        <w:trPr>
          <w:tblHeader w:val="true"/>
          <w:trHeight w:val="909" w:hRule="atLeast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>№</w:t>
            </w:r>
          </w:p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>п/п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>Район выезда подразделения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>Подрайон выезда для подразделений</w:t>
            </w:r>
          </w:p>
        </w:tc>
        <w:tc>
          <w:tcPr>
            <w:tcW w:w="7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 xml:space="preserve">Условия направления на тушение пожаров и проведение АСР </w:t>
            </w:r>
          </w:p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 xml:space="preserve">в подрайон выезда </w:t>
            </w:r>
          </w:p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>(район выезда другого подразделения указанного в столбце № 2):</w:t>
            </w:r>
          </w:p>
        </w:tc>
      </w:tr>
      <w:tr>
        <w:trPr>
          <w:tblHeader w:val="true"/>
          <w:trHeight w:val="693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</w:r>
          </w:p>
        </w:tc>
        <w:tc>
          <w:tcPr>
            <w:tcW w:w="1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</w:r>
          </w:p>
        </w:tc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 xml:space="preserve">по первому сообщению о пожаре </w:t>
            </w:r>
          </w:p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>по номеру (рангу) пожара</w:t>
            </w:r>
          </w:p>
        </w:tc>
        <w:tc>
          <w:tcPr>
            <w:tcW w:w="255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 качестве дополнительных сил (резерва)</w:t>
            </w:r>
          </w:p>
        </w:tc>
      </w:tr>
      <w:tr>
        <w:trPr>
          <w:tblHeader w:val="true"/>
          <w:trHeight w:val="419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</w:r>
          </w:p>
        </w:tc>
        <w:tc>
          <w:tcPr>
            <w:tcW w:w="1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 xml:space="preserve">№ </w:t>
            </w:r>
            <w:r>
              <w:rPr>
                <w:bCs/>
                <w:spacing w:val="-6"/>
                <w:sz w:val="22"/>
                <w:szCs w:val="22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 xml:space="preserve">№ </w:t>
            </w:r>
            <w:r>
              <w:rPr>
                <w:bCs/>
                <w:spacing w:val="-6"/>
                <w:sz w:val="22"/>
                <w:szCs w:val="22"/>
              </w:rPr>
              <w:t>1 бис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 xml:space="preserve">№ </w:t>
            </w:r>
            <w:r>
              <w:rPr>
                <w:bCs/>
                <w:spacing w:val="-6"/>
                <w:sz w:val="22"/>
                <w:szCs w:val="22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  <w:t xml:space="preserve">№ </w:t>
            </w:r>
            <w:r>
              <w:rPr>
                <w:bCs/>
                <w:spacing w:val="-6"/>
                <w:sz w:val="22"/>
                <w:szCs w:val="22"/>
              </w:rPr>
              <w:t>3</w:t>
            </w:r>
          </w:p>
        </w:tc>
        <w:tc>
          <w:tcPr>
            <w:tcW w:w="2558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13" w:hanging="0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  <w:sz w:val="22"/>
                <w:szCs w:val="22"/>
              </w:rPr>
            </w:r>
          </w:p>
        </w:tc>
      </w:tr>
      <w:tr>
        <w:trPr>
          <w:tblHeader w:val="true"/>
          <w:trHeight w:val="23" w:hRule="atLeast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7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8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1.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/>
            </w:pPr>
            <w:r>
              <w:rPr>
                <w:b w:val="false"/>
                <w:sz w:val="22"/>
                <w:szCs w:val="22"/>
              </w:rPr>
              <w:t xml:space="preserve">84 ПСЧ </w:t>
            </w:r>
          </w:p>
          <w:p>
            <w:pPr>
              <w:pStyle w:val="Normal"/>
              <w:ind w:left="-85" w:right="-85" w:hanging="0"/>
              <w:jc w:val="center"/>
              <w:rPr/>
            </w:pPr>
            <w:r>
              <w:rPr>
                <w:b w:val="false"/>
                <w:sz w:val="22"/>
                <w:szCs w:val="22"/>
              </w:rPr>
              <w:t>(ОП 84 ПСЧ)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ПЧ-77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 w:val="false"/>
                <w:b w:val="false"/>
                <w:spacing w:val="-9"/>
                <w:sz w:val="22"/>
                <w:szCs w:val="22"/>
              </w:rPr>
            </w:pPr>
            <w:r>
              <w:rPr>
                <w:b w:val="false"/>
                <w:spacing w:val="-9"/>
                <w:sz w:val="22"/>
                <w:szCs w:val="22"/>
              </w:rPr>
              <w:t xml:space="preserve">На объекты </w:t>
              <w:br/>
              <w:t xml:space="preserve">ООО «РН-Юганскнефтегаз»,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trike/>
                <w:sz w:val="22"/>
                <w:szCs w:val="22"/>
              </w:rPr>
            </w:pPr>
            <w:r>
              <w:rPr>
                <w:b w:val="false"/>
                <w:spacing w:val="-9"/>
                <w:sz w:val="22"/>
                <w:szCs w:val="22"/>
              </w:rPr>
              <w:t>и иные объекты с которыми имеются договорные отношения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trike/>
                <w:sz w:val="22"/>
                <w:szCs w:val="22"/>
              </w:rPr>
            </w:pPr>
            <w:r>
              <w:rPr>
                <w:b w:val="false"/>
                <w:strike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ПП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«ЮБ ГПЗ»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На прочие охраняемые объекты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ПП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«ЮБ ЛПУ»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На прочие охраняемые объекты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2.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ПЧ-77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84 ПСЧ</w:t>
            </w:r>
          </w:p>
          <w:p>
            <w:pPr>
              <w:pStyle w:val="Normal"/>
              <w:ind w:left="-85" w:right="-85" w:hanging="0"/>
              <w:jc w:val="center"/>
              <w:rPr/>
            </w:pPr>
            <w:r>
              <w:rPr>
                <w:b w:val="false"/>
                <w:sz w:val="22"/>
                <w:szCs w:val="22"/>
              </w:rPr>
              <w:t xml:space="preserve">или </w:t>
              <w:br/>
              <w:t>ОП 84 ПСЧ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№ </w:t>
            </w:r>
            <w:r>
              <w:rPr>
                <w:b w:val="false"/>
                <w:sz w:val="22"/>
                <w:szCs w:val="22"/>
              </w:rPr>
              <w:t>2</w:t>
              <w:br/>
              <w:t xml:space="preserve"> и выше</w:t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1560" w:leader="none"/>
                <w:tab w:val="left" w:pos="3544" w:leader="none"/>
                <w:tab w:val="left" w:pos="3686" w:leader="none"/>
                <w:tab w:val="left" w:pos="3828" w:leader="none"/>
              </w:tabs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 </w:t>
            </w:r>
            <w:r>
              <w:rPr>
                <w:b w:val="false"/>
                <w:sz w:val="22"/>
                <w:szCs w:val="22"/>
              </w:rPr>
              <w:t>При возникновении двух и более пожаров (происшествий)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ПП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«ЮБ ГПЗ»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ПП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«ЮБ ЛПУ»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3.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ПП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«ЮБ ГПЗ»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84 ПСЧ</w:t>
            </w:r>
          </w:p>
          <w:p>
            <w:pPr>
              <w:pStyle w:val="Normal"/>
              <w:ind w:left="-85" w:right="-85" w:hanging="0"/>
              <w:jc w:val="center"/>
              <w:rPr/>
            </w:pPr>
            <w:r>
              <w:rPr>
                <w:b w:val="false"/>
                <w:sz w:val="22"/>
                <w:szCs w:val="22"/>
              </w:rPr>
              <w:t>или</w:t>
              <w:br/>
              <w:t>ОП 84 ПСЧ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№ </w:t>
            </w:r>
            <w:r>
              <w:rPr>
                <w:b w:val="false"/>
                <w:sz w:val="22"/>
                <w:szCs w:val="22"/>
              </w:rPr>
              <w:t>1</w:t>
              <w:br/>
              <w:t xml:space="preserve"> и выше</w:t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255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1560" w:leader="none"/>
                <w:tab w:val="left" w:pos="3544" w:leader="none"/>
                <w:tab w:val="left" w:pos="3686" w:leader="none"/>
                <w:tab w:val="left" w:pos="3828" w:leader="none"/>
              </w:tabs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1. При возникновении двух и более пожаров (происшествий).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560" w:leader="none"/>
                <w:tab w:val="left" w:pos="3544" w:leader="none"/>
                <w:tab w:val="left" w:pos="3686" w:leader="none"/>
                <w:tab w:val="left" w:pos="3828" w:leader="none"/>
              </w:tabs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2. По запросу РТП.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ПП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«ЮБ ЛПУ»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№ </w:t>
            </w:r>
            <w:r>
              <w:rPr>
                <w:b w:val="false"/>
                <w:sz w:val="22"/>
                <w:szCs w:val="22"/>
              </w:rPr>
              <w:t>2</w:t>
              <w:br/>
              <w:t xml:space="preserve"> и выше</w:t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2558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</w:tr>
      <w:tr>
        <w:trPr>
          <w:trHeight w:val="820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ПЧ-77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4.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ПП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«ЮБ ЛПУ»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84 ПСЧ</w:t>
            </w:r>
          </w:p>
          <w:p>
            <w:pPr>
              <w:pStyle w:val="Normal"/>
              <w:ind w:left="-85" w:right="-85" w:hanging="0"/>
              <w:jc w:val="center"/>
              <w:rPr/>
            </w:pPr>
            <w:r>
              <w:rPr>
                <w:b w:val="false"/>
                <w:sz w:val="22"/>
                <w:szCs w:val="22"/>
              </w:rPr>
              <w:t xml:space="preserve">или </w:t>
              <w:br/>
              <w:t>ОП 84 ПСЧ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№ </w:t>
            </w:r>
            <w:r>
              <w:rPr>
                <w:b w:val="false"/>
                <w:sz w:val="22"/>
                <w:szCs w:val="22"/>
              </w:rPr>
              <w:t>1</w:t>
              <w:br/>
              <w:t xml:space="preserve"> и выше</w:t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255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1560" w:leader="none"/>
                <w:tab w:val="left" w:pos="3544" w:leader="none"/>
                <w:tab w:val="left" w:pos="3686" w:leader="none"/>
                <w:tab w:val="left" w:pos="3828" w:leader="none"/>
              </w:tabs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1. При возникновении двух и более пожаров (происшествий).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560" w:leader="none"/>
                <w:tab w:val="left" w:pos="3544" w:leader="none"/>
                <w:tab w:val="left" w:pos="3686" w:leader="none"/>
                <w:tab w:val="left" w:pos="3828" w:leader="none"/>
              </w:tabs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2. По запросу РТП.</w:t>
            </w:r>
          </w:p>
        </w:tc>
      </w:tr>
      <w:tr>
        <w:trPr>
          <w:trHeight w:val="820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ПП </w:t>
            </w:r>
          </w:p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«ЮБ ГПЗ»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№ </w:t>
            </w:r>
            <w:r>
              <w:rPr>
                <w:b w:val="false"/>
                <w:sz w:val="22"/>
                <w:szCs w:val="22"/>
              </w:rPr>
              <w:t>2</w:t>
              <w:br/>
              <w:t xml:space="preserve"> и выше</w:t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2558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</w:tr>
      <w:tr>
        <w:trPr>
          <w:trHeight w:val="820" w:hRule="atLeast"/>
        </w:trPr>
        <w:tc>
          <w:tcPr>
            <w:tcW w:w="42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85" w:right="-85"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ПЧ-77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ind w:left="-85" w:right="-85" w:hanging="0"/>
              <w:jc w:val="center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-</w:t>
            </w:r>
          </w:p>
        </w:tc>
      </w:tr>
    </w:tbl>
    <w:p>
      <w:pPr>
        <w:pStyle w:val="Normal"/>
        <w:spacing w:lineRule="auto" w:line="232"/>
        <w:jc w:val="center"/>
        <w:rPr>
          <w:bCs/>
          <w:sz w:val="8"/>
          <w:szCs w:val="8"/>
        </w:rPr>
      </w:pPr>
      <w:r>
        <w:rPr>
          <w:bCs/>
          <w:sz w:val="8"/>
          <w:szCs w:val="8"/>
        </w:rPr>
      </w:r>
    </w:p>
    <w:p>
      <w:pPr>
        <w:pStyle w:val="Normal"/>
        <w:keepNext w:val="true"/>
        <w:suppressAutoHyphens w:val="true"/>
        <w:spacing w:lineRule="auto" w:line="228"/>
        <w:ind w:left="7088" w:hanging="0"/>
        <w:jc w:val="center"/>
        <w:rPr>
          <w:b w:val="false"/>
          <w:b w:val="false"/>
          <w:bCs/>
          <w:sz w:val="16"/>
          <w:szCs w:val="16"/>
        </w:rPr>
      </w:pPr>
      <w:r>
        <w:rPr>
          <w:b w:val="false"/>
          <w:bCs/>
          <w:sz w:val="16"/>
          <w:szCs w:val="16"/>
        </w:rPr>
      </w:r>
    </w:p>
    <w:p>
      <w:pPr>
        <w:pStyle w:val="Normal"/>
        <w:spacing w:lineRule="auto" w:line="232"/>
        <w:jc w:val="center"/>
        <w:rPr>
          <w:b w:val="false"/>
          <w:b w:val="false"/>
          <w:bCs/>
          <w:sz w:val="28"/>
          <w:szCs w:val="28"/>
        </w:rPr>
      </w:pPr>
      <w:r>
        <w:rPr>
          <w:b w:val="false"/>
          <w:bCs/>
          <w:sz w:val="28"/>
          <w:szCs w:val="28"/>
        </w:rPr>
      </w:r>
    </w:p>
    <w:p>
      <w:pPr>
        <w:pStyle w:val="Normal"/>
        <w:spacing w:lineRule="auto" w:line="2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spacing w:lineRule="auto" w:line="2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spacing w:lineRule="auto" w:line="232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</w:r>
    </w:p>
    <w:p>
      <w:pPr>
        <w:pStyle w:val="Normal"/>
        <w:spacing w:lineRule="auto" w:line="232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</w:r>
    </w:p>
    <w:p>
      <w:pPr>
        <w:pStyle w:val="Normal"/>
        <w:spacing w:lineRule="auto" w:line="232"/>
        <w:jc w:val="center"/>
        <w:rPr/>
      </w:pPr>
      <w:r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. Схема района (подрайона) выезда подразделений пожарной охраны </w:t>
      </w:r>
    </w:p>
    <w:p>
      <w:pPr>
        <w:pStyle w:val="Normal"/>
        <w:spacing w:lineRule="auto" w:line="2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 муниципальном образовании</w:t>
      </w:r>
    </w:p>
    <w:p>
      <w:pPr>
        <w:pStyle w:val="Normal"/>
        <w:spacing w:lineRule="auto" w:line="232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</w:r>
    </w:p>
    <w:p>
      <w:pPr>
        <w:pStyle w:val="Normal"/>
        <w:spacing w:lineRule="auto" w:line="232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</w:r>
    </w:p>
    <w:p>
      <w:pPr>
        <w:pStyle w:val="Normal"/>
        <w:spacing w:lineRule="auto" w:line="22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drawing>
          <wp:inline distT="0" distB="0" distL="0" distR="0">
            <wp:extent cx="6419215" cy="8680450"/>
            <wp:effectExtent l="0" t="0" r="0" b="0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" t="-1" r="-2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215" cy="868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2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spacing w:lineRule="auto" w:line="22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spacing w:lineRule="auto" w:line="232"/>
        <w:jc w:val="center"/>
        <w:rPr>
          <w:sz w:val="16"/>
          <w:szCs w:val="16"/>
        </w:rPr>
      </w:pP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V. Зона обслуживания (привлечения) опорного пункта по тушению крупных пожаров и проведения аварийно-спасательных работ № 6, мобильной группировки</w:t>
      </w:r>
      <w:r>
        <w:rPr/>
        <w:t xml:space="preserve"> </w:t>
      </w:r>
      <w:r>
        <w:rPr>
          <w:bCs/>
          <w:sz w:val="28"/>
          <w:szCs w:val="28"/>
        </w:rPr>
        <w:t>Нефтеюганского местного пожарно-спасательного гарнизона</w:t>
        <w:br/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pacing w:val="-8"/>
          <w:sz w:val="28"/>
          <w:szCs w:val="28"/>
        </w:rPr>
      </w:pPr>
      <w:r>
        <w:rPr>
          <w:b w:val="false"/>
          <w:spacing w:val="-8"/>
          <w:sz w:val="28"/>
          <w:szCs w:val="28"/>
        </w:rPr>
        <w:t>Опорный пункт по тушению крупных пожаров и проведению аварийно-спасательных работ № 6 (далее – ОП № 6), а также формируемая в его составе мобильная группировка (далее – МГ) Нефтеюганского местного пожарно-спасательного гарнизона (далее – НфМПСГ) создаются по решению начальника Главного управления МЧС России по Ханты-Мансийскому автономному округу-Югре.</w:t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Порядок приведения ОП № 6 (МГ НфМПСГ) в готовность определяется соответствующим Планом применения, разработанным в установленном порядке.</w:t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Подразделение, на базе которого создан ОП, осуществляет свою деятельность в режимах «Повседневная деятельность», «Повышенная готовность» и «Чрезвычайная ситуация».</w:t>
      </w:r>
    </w:p>
    <w:p>
      <w:pPr>
        <w:pStyle w:val="Normal"/>
        <w:widowControl w:val="false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Зона обслуживания ОП № 6 (МГ НфМПСГ) – в границах Нефтеюганского местного пожарно-спасательного гарнизона.</w:t>
      </w:r>
    </w:p>
    <w:p>
      <w:pPr>
        <w:pStyle w:val="Normal"/>
        <w:widowControl w:val="false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Зона привлечения ОП № 6 (МГ НфМПСГ) – в границах Ханты-Мансийского местного пожарно-спасательного гарнизона, а также части территорий, в границах Федоровской зоны ответственности Сургутского местного пожарно-спасательного гарнизона (левобережная часть относительно р.Обь) и Лянторской зоны ответственности Сургутского местного пожарно-спасательного гарнизона (в административных границах сп.Тундрино).</w:t>
      </w:r>
    </w:p>
    <w:p>
      <w:pPr>
        <w:pStyle w:val="Normal"/>
        <w:spacing w:lineRule="auto" w:line="232"/>
        <w:jc w:val="center"/>
        <w:rPr>
          <w:b w:val="false"/>
          <w:b w:val="false"/>
          <w:sz w:val="28"/>
          <w:szCs w:val="24"/>
        </w:rPr>
      </w:pPr>
      <w:r>
        <w:rPr>
          <w:b w:val="false"/>
          <w:sz w:val="28"/>
          <w:szCs w:val="24"/>
        </w:rPr>
      </w:r>
    </w:p>
    <w:p>
      <w:pPr>
        <w:pStyle w:val="Normal"/>
        <w:spacing w:lineRule="auto" w:line="232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привлечения сил и средств ОП № 6 (МГ НфМПСГ)</w:t>
        <w:br/>
        <w:t>к тушению пожаров и проведению АСР</w:t>
      </w:r>
    </w:p>
    <w:p>
      <w:pPr>
        <w:pStyle w:val="Normal"/>
        <w:spacing w:lineRule="auto" w:line="232"/>
        <w:ind w:firstLine="567"/>
        <w:jc w:val="center"/>
        <w:rPr>
          <w:b w:val="false"/>
          <w:b w:val="false"/>
          <w:sz w:val="16"/>
          <w:szCs w:val="16"/>
        </w:rPr>
      </w:pPr>
      <w:r>
        <w:rPr>
          <w:b w:val="false"/>
          <w:sz w:val="16"/>
          <w:szCs w:val="16"/>
        </w:rPr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Силы и средства, приписанные к ОП № 6 (МГ НфМПСГ), привлекаются к тушению пожаров и проведению АСР:</w:t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- до приведения ОП в готовность (в режиме «Повседневная деятельность»), - в соответствие с порядком привлечения сил и средств подразделений пожарно-спасательных гарнизонов к тушению пожаров и проведению АСР, установленным в территориальном (местном) пожарно-спасательном гарнизоне;</w:t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- с приведением ОП в готовность (в режимах «Повышенная готовность» и «Чрезвычайная ситуация») – с последующим формированием МГ НфМПСГ для наращивания сил гарнизонов на месте крупных пожаров (ЧС).</w:t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Правом принятия решения о приведении ОП № 6 (МГ НфМПСГ) в готовность, с доведением распоряжения через диспетчера территориального (местного) пожарно-спасательного гарнизона, обладают начальник Главного управления, иные должностные лица, определенные приказом Главного управления, начальник местного пожарно-спасательного гарнизона.</w:t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При возникновении в зоне обслуживания ОП №6 (МГ НфМПСГ) пожара с повышенным номером (рангом) (до убытия за пределы НфМПСГ), диспетчер ЦППС гарнизона информирует диспетчера территориального пожарно-спасательного гарнизона (ЦУКС) о необходимости применения сил и средств МГ в границах НфМПСГ. Далее действует в соответствии с их указанием.</w:t>
      </w:r>
    </w:p>
    <w:p>
      <w:pPr>
        <w:pStyle w:val="Normal"/>
        <w:spacing w:lineRule="auto" w:line="232"/>
        <w:ind w:firstLine="567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После убытия МГ за пределы НфМПСГ, силы и средства, приписанные к ОП № 6, не учитываются при планировании действий по тушению пожаров и проведению АСР на территории гарнизона. На этот период в подразделении (гарнизоне) проводятся компенсирующие мероприятия.</w:t>
      </w:r>
    </w:p>
    <w:sectPr>
      <w:headerReference w:type="default" r:id="rId3"/>
      <w:headerReference w:type="first" r:id="rId4"/>
      <w:type w:val="nextPage"/>
      <w:pgSz w:w="11906" w:h="16838"/>
      <w:pgMar w:left="1418" w:right="567" w:header="567" w:top="851" w:footer="0" w:bottom="567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Arial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2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  <w:b/>
                              <w:b/>
                            </w:rPr>
                          </w:pPr>
                          <w:r>
                            <w:rPr>
                              <w:rStyle w:val="PageNumber"/>
                              <w:b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b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b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b/>
                            </w:rPr>
                            <w:t>4</w:t>
                          </w:r>
                          <w:r>
                            <w:rPr>
                              <w:rStyle w:val="PageNumber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2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rPr>
                        <w:rStyle w:val="PageNumber"/>
                        <w:b/>
                        <w:b/>
                      </w:rPr>
                    </w:pPr>
                    <w:r>
                      <w:rPr>
                        <w:rStyle w:val="PageNumber"/>
                        <w:b/>
                      </w:rPr>
                      <w:fldChar w:fldCharType="begin"/>
                    </w:r>
                    <w:r>
                      <w:rPr>
                        <w:rStyle w:val="PageNumber"/>
                        <w:b/>
                      </w:rPr>
                      <w:instrText> PAGE </w:instrText>
                    </w:r>
                    <w:r>
                      <w:rPr>
                        <w:rStyle w:val="PageNumber"/>
                        <w:b/>
                      </w:rPr>
                      <w:fldChar w:fldCharType="separate"/>
                    </w:r>
                    <w:r>
                      <w:rPr>
                        <w:rStyle w:val="PageNumber"/>
                        <w:b/>
                      </w:rPr>
                      <w:t>4</w:t>
                    </w:r>
                    <w:r>
                      <w:rPr>
                        <w:rStyle w:val="PageNumber"/>
                        <w:b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113"/>
        </w:tabs>
        <w:ind w:left="0" w:firstLine="57"/>
      </w:pPr>
      <w:rPr>
        <w:rFonts w:cs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b/>
      <w:color w:val="auto"/>
      <w:sz w:val="24"/>
      <w:szCs w:val="20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firstLine="567"/>
      <w:jc w:val="center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20"/>
        <w:tab w:val="left" w:pos="1560" w:leader="none"/>
        <w:tab w:val="left" w:pos="3544" w:leader="none"/>
        <w:tab w:val="left" w:pos="3686" w:leader="none"/>
        <w:tab w:val="left" w:pos="3828" w:leader="none"/>
      </w:tabs>
      <w:jc w:val="center"/>
      <w:outlineLvl w:val="2"/>
    </w:pPr>
    <w:rPr/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u w:val="single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rFonts w:cs="Times New Roman"/>
    </w:rPr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Style11">
    <w:name w:val="Основной шрифт абзаца"/>
    <w:qFormat/>
    <w:rPr/>
  </w:style>
  <w:style w:type="character" w:styleId="PageNumber">
    <w:name w:val="Page Number"/>
    <w:basedOn w:val="Style11"/>
    <w:rPr/>
  </w:style>
  <w:style w:type="paragraph" w:styleId="Heading">
    <w:name w:val="Heading"/>
    <w:basedOn w:val="Normal"/>
    <w:next w:val="TextBody"/>
    <w:qFormat/>
    <w:pPr>
      <w:jc w:val="center"/>
    </w:pPr>
    <w:rPr/>
  </w:style>
  <w:style w:type="paragraph" w:styleId="TextBody">
    <w:name w:val="Body Text"/>
    <w:basedOn w:val="Normal"/>
    <w:pPr>
      <w:tabs>
        <w:tab w:val="clear" w:pos="720"/>
        <w:tab w:val="left" w:pos="3828" w:leader="none"/>
      </w:tabs>
      <w:jc w:val="both"/>
    </w:pPr>
    <w:rPr>
      <w:b w:val="false"/>
    </w:rPr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TextBodyIndent">
    <w:name w:val="Body Text Indent"/>
    <w:basedOn w:val="Normal"/>
    <w:pPr>
      <w:ind w:firstLine="567"/>
    </w:pPr>
    <w:rPr>
      <w:b w:val="false"/>
    </w:rPr>
  </w:style>
  <w:style w:type="paragraph" w:styleId="2">
    <w:name w:val="Основной текст с отступом 2"/>
    <w:basedOn w:val="Normal"/>
    <w:qFormat/>
    <w:pPr>
      <w:ind w:firstLine="567"/>
      <w:jc w:val="both"/>
    </w:pPr>
    <w:rPr>
      <w:b w:val="false"/>
    </w:rPr>
  </w:style>
  <w:style w:type="paragraph" w:styleId="Style12">
    <w:name w:val="Название объекта"/>
    <w:basedOn w:val="Normal"/>
    <w:next w:val="Normal"/>
    <w:qFormat/>
    <w:pPr>
      <w:ind w:firstLine="567"/>
      <w:jc w:val="center"/>
    </w:pPr>
    <w:rPr/>
  </w:style>
  <w:style w:type="paragraph" w:styleId="3">
    <w:name w:val="Основной текст с отступом 3"/>
    <w:basedOn w:val="Normal"/>
    <w:qFormat/>
    <w:pPr>
      <w:tabs>
        <w:tab w:val="clear" w:pos="720"/>
        <w:tab w:val="left" w:pos="1560" w:leader="none"/>
        <w:tab w:val="left" w:pos="3544" w:leader="none"/>
        <w:tab w:val="left" w:pos="3686" w:leader="none"/>
        <w:tab w:val="left" w:pos="3828" w:leader="none"/>
      </w:tabs>
      <w:ind w:firstLine="426"/>
      <w:jc w:val="both"/>
    </w:pPr>
    <w:rPr>
      <w:b w:val="false"/>
    </w:rPr>
  </w:style>
  <w:style w:type="paragraph" w:styleId="21">
    <w:name w:val="Основной текст 2"/>
    <w:basedOn w:val="Normal"/>
    <w:qFormat/>
    <w:pPr>
      <w:spacing w:lineRule="auto" w:line="480" w:before="0" w:after="120"/>
    </w:pPr>
    <w:rPr>
      <w:b w:val="false"/>
      <w:szCs w:val="24"/>
    </w:rPr>
  </w:style>
  <w:style w:type="paragraph" w:styleId="Style1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ConsPlusNormal">
    <w:name w:val="ConsPlusNormal"/>
    <w:qFormat/>
    <w:pPr>
      <w:widowControl w:val="false"/>
      <w:autoSpaceDE w:val="false"/>
      <w:bidi w:val="0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5</TotalTime>
  <Application>LibreOffice/7.0.6.2$Linux_X86_64 LibreOffice_project/00$Build-2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2022-06-12T05:51:00Z</dcterms:created>
  <dc:creator>spt</dc:creator>
  <dc:description/>
  <cp:keywords> </cp:keywords>
  <dc:language>en-US</dc:language>
  <cp:lastModifiedBy>Nach_SPT</cp:lastModifiedBy>
  <cp:lastPrinted>2019-12-13T10:05:00Z</cp:lastPrinted>
  <dcterms:modified xsi:type="dcterms:W3CDTF">2022-06-19T05:51:00Z</dcterms:modified>
  <cp:revision>5</cp:revision>
  <dc:subject/>
  <dc:title>Пррп</dc:title>
</cp:coreProperties>
</file>